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B" w:rsidRDefault="00667BDB" w:rsidP="00667BDB">
      <w:pPr>
        <w:spacing w:line="440" w:lineRule="exact"/>
        <w:rPr>
          <w:rFonts w:ascii="仿宋_GB2312" w:eastAsia="仿宋_GB2312"/>
          <w:sz w:val="28"/>
        </w:rPr>
      </w:pPr>
      <w:r>
        <w:rPr>
          <w:rFonts w:ascii="仿宋_GB2312" w:eastAsia="仿宋_GB2312" w:hint="eastAsia"/>
          <w:sz w:val="28"/>
        </w:rPr>
        <w:t>附件2：</w:t>
      </w:r>
    </w:p>
    <w:p w:rsidR="00667BDB" w:rsidRDefault="00667BDB" w:rsidP="00667BDB">
      <w:pPr>
        <w:spacing w:line="440" w:lineRule="exact"/>
        <w:jc w:val="center"/>
        <w:rPr>
          <w:rFonts w:ascii="仿宋_GB2312" w:eastAsia="仿宋_GB2312"/>
          <w:b/>
          <w:sz w:val="28"/>
        </w:rPr>
      </w:pPr>
      <w:r w:rsidRPr="00701CAA">
        <w:rPr>
          <w:rFonts w:ascii="仿宋_GB2312" w:eastAsia="仿宋_GB2312" w:hint="eastAsia"/>
          <w:b/>
          <w:sz w:val="28"/>
        </w:rPr>
        <w:t>“国际法”暑期学校课程简介和教授简介</w:t>
      </w:r>
    </w:p>
    <w:p w:rsidR="00667BDB" w:rsidRPr="00701CAA" w:rsidRDefault="00667BDB" w:rsidP="00667BDB">
      <w:pPr>
        <w:spacing w:line="440" w:lineRule="exact"/>
        <w:jc w:val="center"/>
        <w:rPr>
          <w:rFonts w:ascii="仿宋_GB2312" w:eastAsia="仿宋_GB2312"/>
          <w:b/>
          <w:sz w:val="28"/>
        </w:rPr>
      </w:pPr>
    </w:p>
    <w:p w:rsidR="00667BDB" w:rsidRPr="00701CAA" w:rsidRDefault="00667BDB" w:rsidP="00667BDB">
      <w:pPr>
        <w:spacing w:line="440" w:lineRule="exact"/>
        <w:rPr>
          <w:rFonts w:ascii="仿宋_GB2312" w:eastAsia="仿宋_GB2312" w:hAnsi="楷体_GB2312" w:cs="楷体_GB2312"/>
          <w:b/>
          <w:bCs/>
          <w:color w:val="000000"/>
          <w:sz w:val="28"/>
          <w:szCs w:val="24"/>
        </w:rPr>
      </w:pPr>
      <w:r w:rsidRPr="00701CAA">
        <w:rPr>
          <w:rFonts w:ascii="仿宋_GB2312" w:eastAsia="仿宋_GB2312" w:hAnsi="楷体_GB2312" w:cs="楷体_GB2312" w:hint="eastAsia"/>
          <w:b/>
          <w:bCs/>
          <w:color w:val="000000"/>
          <w:sz w:val="28"/>
          <w:szCs w:val="24"/>
        </w:rPr>
        <w:t>一、课程简介</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Ansi="Times New Roman" w:hint="eastAsia"/>
          <w:color w:val="000000"/>
          <w:sz w:val="28"/>
          <w:szCs w:val="24"/>
        </w:rPr>
        <w:t>1.</w:t>
      </w:r>
      <w:r w:rsidRPr="00701CAA">
        <w:rPr>
          <w:rFonts w:ascii="仿宋_GB2312" w:eastAsia="仿宋_GB2312" w:hint="eastAsia"/>
          <w:sz w:val="28"/>
          <w:szCs w:val="24"/>
        </w:rPr>
        <w:t xml:space="preserve"> 国际商事争端解决法律与实务</w:t>
      </w:r>
      <w:r>
        <w:rPr>
          <w:rFonts w:ascii="仿宋_GB2312" w:eastAsia="仿宋_GB2312" w:hint="eastAsia"/>
          <w:sz w:val="28"/>
          <w:szCs w:val="24"/>
        </w:rPr>
        <w:t>（授课教授：汤诤）</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int="eastAsia"/>
          <w:sz w:val="28"/>
          <w:szCs w:val="24"/>
        </w:rPr>
        <w:t>本课程着重介绍国际商事争端解决最新的法律和实践问题。授课对象是有志于未来从事国际商事法律实务的律师。</w:t>
      </w:r>
      <w:r>
        <w:rPr>
          <w:rFonts w:ascii="仿宋_GB2312" w:eastAsia="仿宋_GB2312" w:hint="eastAsia"/>
          <w:sz w:val="28"/>
          <w:szCs w:val="24"/>
        </w:rPr>
        <w:t>该课程共分四个部分，分别讲述四种国际商事争端方法，包括商事诉讼、</w:t>
      </w:r>
      <w:r w:rsidRPr="00701CAA">
        <w:rPr>
          <w:rFonts w:ascii="仿宋_GB2312" w:eastAsia="仿宋_GB2312" w:hint="eastAsia"/>
          <w:sz w:val="28"/>
          <w:szCs w:val="24"/>
        </w:rPr>
        <w:t>商事仲裁</w:t>
      </w:r>
      <w:r>
        <w:rPr>
          <w:rFonts w:ascii="仿宋_GB2312" w:eastAsia="仿宋_GB2312" w:hint="eastAsia"/>
          <w:sz w:val="28"/>
          <w:szCs w:val="24"/>
        </w:rPr>
        <w:t>、替代解决纠纷方法</w:t>
      </w:r>
      <w:r w:rsidRPr="00701CAA">
        <w:rPr>
          <w:rFonts w:ascii="仿宋_GB2312" w:eastAsia="仿宋_GB2312" w:hint="eastAsia"/>
          <w:sz w:val="28"/>
          <w:szCs w:val="24"/>
        </w:rPr>
        <w:t>以及集团商事争端解决。在商事诉讼部分，学生要求对跨国商事诉讼中的程序及司法协作问题，包括管辖权，适用法，判决承认和执行等。商事仲裁部分涉及仲裁协议的有效性，可仲裁性，适用法，公共政策和强行法，仲裁裁决的承认与执行，以及仲裁中涉及商事贿赂的特殊问题。替代纠纷解决机制着重介绍调解和在线纠纷解决。最后学生有机会了解到美国集团诉讼和欧洲的集团纠纷解决的最新发展。该课程包括讲座以及研讨，鼓励学员参与案例分析和讨论，提升专业知识和实践技能。</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int="eastAsia"/>
          <w:sz w:val="28"/>
          <w:szCs w:val="24"/>
        </w:rPr>
        <w:t>2. 全球化时代的国际法</w:t>
      </w:r>
      <w:r>
        <w:rPr>
          <w:rFonts w:ascii="仿宋_GB2312" w:eastAsia="仿宋_GB2312" w:hint="eastAsia"/>
          <w:sz w:val="28"/>
          <w:szCs w:val="24"/>
        </w:rPr>
        <w:t>（授课教授：</w:t>
      </w:r>
      <w:r w:rsidRPr="00701CAA">
        <w:rPr>
          <w:rFonts w:ascii="仿宋_GB2312" w:eastAsia="仿宋_GB2312" w:hint="eastAsia"/>
          <w:sz w:val="28"/>
          <w:szCs w:val="24"/>
        </w:rPr>
        <w:t>沃克尔·罗本</w:t>
      </w:r>
      <w:r>
        <w:rPr>
          <w:rFonts w:ascii="仿宋_GB2312" w:eastAsia="仿宋_GB2312" w:hint="eastAsia"/>
          <w:sz w:val="28"/>
          <w:szCs w:val="24"/>
        </w:rPr>
        <w:t>）</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int="eastAsia"/>
          <w:sz w:val="28"/>
          <w:szCs w:val="24"/>
        </w:rPr>
        <w:t>本课程旨在让学生了解全球化时代的国际公法，为学生提供关于当今国际法最新信息。课程的开始阶段将对国际事务的参与者进行调研，同时研究国际法的立法过程。下一阶段，将有选择性的对某些实体国际法领域开展研究，展示国际法体系中包含的某些国际社会热点问题。最后，将对现行的国际法规则进行评述。本课程不要求学生预先阅读任何国际公法的资料。学习目标是在课程结束后学生能够结合全球化背景分析法律问题，较好地理解国际法的主要组成部分及其相互联系，并能基于此理解得出自己的法律观点。</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int="eastAsia"/>
          <w:sz w:val="28"/>
          <w:szCs w:val="24"/>
        </w:rPr>
        <w:t>3. 全球化视角下的比较法</w:t>
      </w:r>
      <w:r>
        <w:rPr>
          <w:rFonts w:ascii="仿宋_GB2312" w:eastAsia="仿宋_GB2312" w:hint="eastAsia"/>
          <w:sz w:val="28"/>
          <w:szCs w:val="24"/>
        </w:rPr>
        <w:t>（授课教授：</w:t>
      </w:r>
      <w:r w:rsidRPr="00701CAA">
        <w:rPr>
          <w:rFonts w:ascii="仿宋_GB2312" w:eastAsia="仿宋_GB2312" w:hint="eastAsia"/>
          <w:sz w:val="28"/>
          <w:szCs w:val="24"/>
        </w:rPr>
        <w:t>瓦伦蒂娜·沃尔普</w:t>
      </w:r>
      <w:r>
        <w:rPr>
          <w:rFonts w:ascii="仿宋_GB2312" w:eastAsia="仿宋_GB2312" w:hint="eastAsia"/>
          <w:sz w:val="28"/>
          <w:szCs w:val="24"/>
        </w:rPr>
        <w:t>）</w:t>
      </w:r>
    </w:p>
    <w:p w:rsidR="00667BDB" w:rsidRPr="00701CAA" w:rsidRDefault="00667BDB" w:rsidP="00667BDB">
      <w:pPr>
        <w:spacing w:line="440" w:lineRule="exact"/>
        <w:ind w:firstLineChars="200" w:firstLine="560"/>
        <w:rPr>
          <w:rFonts w:ascii="仿宋_GB2312" w:eastAsia="仿宋_GB2312" w:hAnsi="Arial" w:cs="Arial"/>
          <w:sz w:val="28"/>
          <w:szCs w:val="24"/>
          <w:shd w:val="clear" w:color="auto" w:fill="FFFFFF"/>
        </w:rPr>
      </w:pPr>
      <w:r w:rsidRPr="00701CAA">
        <w:rPr>
          <w:rFonts w:ascii="仿宋_GB2312" w:eastAsia="仿宋_GB2312" w:hAnsi="Arial" w:cs="Arial" w:hint="eastAsia"/>
          <w:sz w:val="28"/>
          <w:szCs w:val="24"/>
          <w:shd w:val="clear" w:color="auto" w:fill="FFFFFF"/>
        </w:rPr>
        <w:t>课程分为三个部分，第一部分讲述比较法研究的意义，介绍了比较法作为独立学科的基本概念。第二部分</w:t>
      </w:r>
      <w:r w:rsidRPr="00701CAA">
        <w:rPr>
          <w:rFonts w:ascii="仿宋_GB2312" w:eastAsia="仿宋_GB2312" w:hint="eastAsia"/>
          <w:sz w:val="28"/>
          <w:szCs w:val="24"/>
        </w:rPr>
        <w:t>以西方传统法学为核心，分析经典普通法和民法</w:t>
      </w:r>
      <w:r w:rsidRPr="00701CAA">
        <w:rPr>
          <w:rFonts w:ascii="仿宋_GB2312" w:eastAsia="仿宋_GB2312" w:hAnsi="Arial" w:cs="Arial" w:hint="eastAsia"/>
          <w:sz w:val="28"/>
          <w:szCs w:val="24"/>
          <w:shd w:val="clear" w:color="auto" w:fill="FFFFFF"/>
        </w:rPr>
        <w:t>，侧重于分析传统模型的融合和分歧，并基于英国和美国（普通法）的经验和法国，意大利和德国（民法）的经验。第三部分将比较研究的范围扩展到了世界上一些较为重要的法律传</w:t>
      </w:r>
      <w:r w:rsidRPr="00701CAA">
        <w:rPr>
          <w:rFonts w:ascii="仿宋_GB2312" w:eastAsia="仿宋_GB2312" w:hAnsi="Arial" w:cs="Arial" w:hint="eastAsia"/>
          <w:sz w:val="28"/>
          <w:szCs w:val="24"/>
          <w:shd w:val="clear" w:color="auto" w:fill="FFFFFF"/>
        </w:rPr>
        <w:lastRenderedPageBreak/>
        <w:t>统地区，如东亚地区</w:t>
      </w:r>
      <w:r w:rsidRPr="00701CAA">
        <w:rPr>
          <w:rFonts w:ascii="Arial" w:eastAsia="仿宋_GB2312" w:hAnsi="Arial" w:cs="Arial" w:hint="eastAsia"/>
          <w:sz w:val="28"/>
          <w:szCs w:val="24"/>
          <w:shd w:val="clear" w:color="auto" w:fill="FFFFFF"/>
        </w:rPr>
        <w:t> </w:t>
      </w:r>
      <w:r w:rsidRPr="00701CAA">
        <w:rPr>
          <w:rFonts w:ascii="仿宋_GB2312" w:eastAsia="仿宋_GB2312" w:hAnsi="Arial" w:cs="Arial" w:hint="eastAsia"/>
          <w:sz w:val="28"/>
          <w:szCs w:val="24"/>
          <w:shd w:val="clear" w:color="auto" w:fill="FFFFFF"/>
        </w:rPr>
        <w:t>、非洲撒哈拉南部地区、伊斯兰教和犹太法地区，并探究在全球范围内融合多样化法律的可行性。</w:t>
      </w:r>
    </w:p>
    <w:p w:rsidR="00667BDB" w:rsidRPr="00701CAA" w:rsidRDefault="00667BDB" w:rsidP="00667BDB">
      <w:pPr>
        <w:spacing w:line="440" w:lineRule="exact"/>
        <w:ind w:firstLineChars="200" w:firstLine="560"/>
        <w:rPr>
          <w:rFonts w:ascii="仿宋_GB2312" w:eastAsia="仿宋_GB2312"/>
          <w:sz w:val="28"/>
          <w:szCs w:val="24"/>
        </w:rPr>
      </w:pPr>
      <w:r w:rsidRPr="00701CAA">
        <w:rPr>
          <w:rFonts w:ascii="仿宋_GB2312" w:eastAsia="仿宋_GB2312" w:hint="eastAsia"/>
          <w:sz w:val="28"/>
          <w:szCs w:val="24"/>
        </w:rPr>
        <w:t>4.空间法</w:t>
      </w:r>
      <w:r>
        <w:rPr>
          <w:rFonts w:ascii="仿宋_GB2312" w:eastAsia="仿宋_GB2312" w:hint="eastAsia"/>
          <w:sz w:val="28"/>
          <w:szCs w:val="24"/>
        </w:rPr>
        <w:t>（授课教授：</w:t>
      </w:r>
      <w:r w:rsidRPr="00701CAA">
        <w:rPr>
          <w:rFonts w:ascii="仿宋_GB2312" w:eastAsia="仿宋_GB2312" w:hint="eastAsia"/>
          <w:sz w:val="28"/>
          <w:szCs w:val="24"/>
        </w:rPr>
        <w:t>史蒂芬·弗里兰</w:t>
      </w:r>
      <w:r>
        <w:rPr>
          <w:rFonts w:ascii="仿宋_GB2312" w:eastAsia="仿宋_GB2312" w:hint="eastAsia"/>
          <w:sz w:val="28"/>
          <w:szCs w:val="24"/>
        </w:rPr>
        <w:t>）</w:t>
      </w:r>
    </w:p>
    <w:p w:rsidR="00667BDB" w:rsidRPr="00701CAA" w:rsidRDefault="00667BDB" w:rsidP="00667BDB">
      <w:pPr>
        <w:spacing w:line="440" w:lineRule="exact"/>
        <w:ind w:firstLine="360"/>
        <w:rPr>
          <w:rFonts w:ascii="仿宋_GB2312" w:eastAsia="仿宋_GB2312"/>
          <w:sz w:val="28"/>
          <w:szCs w:val="24"/>
        </w:rPr>
      </w:pPr>
      <w:r w:rsidRPr="00701CAA">
        <w:rPr>
          <w:rFonts w:ascii="仿宋_GB2312" w:eastAsia="仿宋_GB2312" w:hint="eastAsia"/>
          <w:sz w:val="28"/>
          <w:szCs w:val="24"/>
        </w:rPr>
        <w:t>课程旨在介绍空间法相关知识，建立空间法逻辑和知识架构，从空间法概念及必要性出发，对空间法组成部分进行逐次探讨，使学生对空间法由宏观认识到逐层分析，并对相关法律实践及其背后的法律思想与制度价值有结构性的掌握。</w:t>
      </w:r>
    </w:p>
    <w:p w:rsidR="00667BDB" w:rsidRPr="00701CAA" w:rsidRDefault="00667BDB" w:rsidP="00667BDB">
      <w:pPr>
        <w:spacing w:line="440" w:lineRule="exact"/>
        <w:rPr>
          <w:rFonts w:ascii="仿宋_GB2312" w:eastAsia="仿宋_GB2312" w:hAnsi="楷体_GB2312" w:cs="楷体_GB2312"/>
          <w:b/>
          <w:bCs/>
          <w:color w:val="000000"/>
          <w:sz w:val="28"/>
          <w:szCs w:val="24"/>
        </w:rPr>
      </w:pPr>
      <w:r>
        <w:rPr>
          <w:rFonts w:ascii="仿宋_GB2312" w:eastAsia="仿宋_GB2312" w:hAnsi="楷体_GB2312" w:cs="楷体_GB2312" w:hint="eastAsia"/>
          <w:b/>
          <w:bCs/>
          <w:color w:val="000000"/>
          <w:sz w:val="28"/>
          <w:szCs w:val="24"/>
        </w:rPr>
        <w:t>二、教授</w:t>
      </w:r>
      <w:r w:rsidRPr="00701CAA">
        <w:rPr>
          <w:rFonts w:ascii="仿宋_GB2312" w:eastAsia="仿宋_GB2312" w:hAnsi="楷体_GB2312" w:cs="楷体_GB2312" w:hint="eastAsia"/>
          <w:b/>
          <w:bCs/>
          <w:color w:val="000000"/>
          <w:sz w:val="28"/>
          <w:szCs w:val="24"/>
        </w:rPr>
        <w:t>简介</w:t>
      </w:r>
    </w:p>
    <w:p w:rsidR="00667BDB" w:rsidRPr="00701CAA" w:rsidRDefault="00667BDB" w:rsidP="00667BDB">
      <w:pPr>
        <w:pStyle w:val="1"/>
        <w:spacing w:line="440" w:lineRule="exact"/>
        <w:ind w:left="480"/>
        <w:rPr>
          <w:rFonts w:ascii="仿宋_GB2312" w:eastAsia="仿宋_GB2312"/>
          <w:sz w:val="28"/>
          <w:szCs w:val="24"/>
        </w:rPr>
      </w:pPr>
      <w:r>
        <w:rPr>
          <w:rFonts w:ascii="仿宋_GB2312" w:eastAsia="仿宋_GB2312" w:hAnsi="宋体" w:cs="宋体" w:hint="eastAsia"/>
          <w:noProof/>
          <w:color w:val="000000"/>
          <w:sz w:val="28"/>
          <w:szCs w:val="24"/>
        </w:rPr>
        <w:drawing>
          <wp:anchor distT="0" distB="0" distL="114300" distR="114300" simplePos="0" relativeHeight="251659264" behindDoc="0" locked="0" layoutInCell="1" allowOverlap="1">
            <wp:simplePos x="0" y="0"/>
            <wp:positionH relativeFrom="column">
              <wp:posOffset>4305300</wp:posOffset>
            </wp:positionH>
            <wp:positionV relativeFrom="paragraph">
              <wp:posOffset>173355</wp:posOffset>
            </wp:positionV>
            <wp:extent cx="1009650" cy="1304925"/>
            <wp:effectExtent l="19050" t="0" r="0" b="0"/>
            <wp:wrapSquare wrapText="bothSides"/>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6" cstate="print"/>
                    <a:srcRect/>
                    <a:stretch>
                      <a:fillRect/>
                    </a:stretch>
                  </pic:blipFill>
                  <pic:spPr bwMode="auto">
                    <a:xfrm>
                      <a:off x="0" y="0"/>
                      <a:ext cx="1009650" cy="1304925"/>
                    </a:xfrm>
                    <a:prstGeom prst="rect">
                      <a:avLst/>
                    </a:prstGeom>
                    <a:noFill/>
                    <a:ln w="9525">
                      <a:noFill/>
                      <a:miter lim="800000"/>
                      <a:headEnd/>
                      <a:tailEnd/>
                    </a:ln>
                  </pic:spPr>
                </pic:pic>
              </a:graphicData>
            </a:graphic>
          </wp:anchor>
        </w:drawing>
      </w:r>
      <w:r w:rsidRPr="00701CAA">
        <w:rPr>
          <w:rFonts w:ascii="仿宋_GB2312" w:eastAsia="仿宋_GB2312" w:hAnsi="宋体" w:cs="宋体" w:hint="eastAsia"/>
          <w:color w:val="000000"/>
          <w:sz w:val="28"/>
          <w:szCs w:val="24"/>
        </w:rPr>
        <w:t>1.</w:t>
      </w:r>
      <w:r w:rsidRPr="00701CAA">
        <w:rPr>
          <w:rFonts w:ascii="仿宋_GB2312" w:eastAsia="仿宋_GB2312" w:hAnsi="Times New Roman" w:hint="eastAsia"/>
          <w:color w:val="000000"/>
          <w:sz w:val="28"/>
          <w:szCs w:val="24"/>
        </w:rPr>
        <w:t xml:space="preserve"> </w:t>
      </w:r>
      <w:r w:rsidRPr="00701CAA">
        <w:rPr>
          <w:rFonts w:ascii="仿宋_GB2312" w:eastAsia="仿宋_GB2312" w:hint="eastAsia"/>
          <w:sz w:val="28"/>
          <w:szCs w:val="24"/>
        </w:rPr>
        <w:t>汤诤（Zheng Sophia Tang）</w:t>
      </w:r>
    </w:p>
    <w:p w:rsidR="00667BDB" w:rsidRPr="00701CAA" w:rsidRDefault="00667BDB" w:rsidP="00667BDB">
      <w:pPr>
        <w:spacing w:line="440" w:lineRule="exact"/>
        <w:ind w:firstLineChars="200" w:firstLine="560"/>
        <w:rPr>
          <w:rFonts w:ascii="仿宋_GB2312" w:eastAsia="仿宋_GB2312"/>
          <w:sz w:val="28"/>
          <w:szCs w:val="24"/>
        </w:rPr>
      </w:pPr>
      <w:r w:rsidRPr="00701CAA">
        <w:rPr>
          <w:rFonts w:ascii="仿宋_GB2312" w:eastAsia="仿宋_GB2312" w:hint="eastAsia"/>
          <w:sz w:val="28"/>
          <w:szCs w:val="24"/>
        </w:rPr>
        <w:t>英国纽卡斯尔大学法与商业教授，阿伯丁大学国际私法中心和利兹大学技术法中心校外专家，欧盟委员会司法部外部专家，诉讼律师和调解员。其主要研究领域包括国际私法，跨国诉讼，国际商事仲裁，跨国消费者保护，集团诉讼，电子商务法。曾先后于阿伯丁大学和利兹大学任教。主要学术成果包括专著《电子消费合同中的冲突法》（英文）和《国际商事中的管辖权和仲裁条款》（英文）。</w:t>
      </w:r>
    </w:p>
    <w:p w:rsidR="00667BDB" w:rsidRPr="00701CAA" w:rsidRDefault="00667BDB" w:rsidP="00667BDB">
      <w:pPr>
        <w:pStyle w:val="1"/>
        <w:spacing w:line="440" w:lineRule="exact"/>
        <w:ind w:left="480"/>
        <w:rPr>
          <w:rFonts w:ascii="仿宋_GB2312" w:eastAsia="仿宋_GB2312"/>
          <w:sz w:val="28"/>
          <w:szCs w:val="24"/>
        </w:rPr>
      </w:pPr>
      <w:r w:rsidRPr="00701CAA">
        <w:rPr>
          <w:rFonts w:ascii="仿宋_GB2312" w:eastAsia="仿宋_GB2312" w:hAnsi="Times New Roman" w:hint="eastAsia"/>
          <w:color w:val="000000"/>
          <w:sz w:val="28"/>
          <w:szCs w:val="24"/>
        </w:rPr>
        <w:t>2.</w:t>
      </w:r>
      <w:r w:rsidRPr="00701CAA">
        <w:rPr>
          <w:rFonts w:ascii="仿宋_GB2312" w:eastAsia="仿宋_GB2312" w:hint="eastAsia"/>
          <w:sz w:val="28"/>
          <w:szCs w:val="24"/>
        </w:rPr>
        <w:t xml:space="preserve"> 沃克尔·罗本（Volker Roeben）</w:t>
      </w:r>
    </w:p>
    <w:p w:rsidR="00667BDB" w:rsidRPr="00701CAA" w:rsidRDefault="00667BDB" w:rsidP="00667BDB">
      <w:pPr>
        <w:pStyle w:val="1"/>
        <w:spacing w:line="440" w:lineRule="exact"/>
        <w:ind w:left="0" w:firstLineChars="200" w:firstLine="560"/>
        <w:rPr>
          <w:rFonts w:ascii="仿宋_GB2312" w:eastAsia="仿宋_GB2312"/>
          <w:sz w:val="28"/>
          <w:szCs w:val="24"/>
        </w:rPr>
      </w:pPr>
      <w:r>
        <w:rPr>
          <w:rFonts w:ascii="仿宋_GB2312" w:eastAsia="仿宋_GB2312" w:hint="eastAsia"/>
          <w:noProof/>
          <w:sz w:val="28"/>
          <w:szCs w:val="24"/>
        </w:rPr>
        <w:drawing>
          <wp:anchor distT="0" distB="0" distL="114300" distR="114300" simplePos="0" relativeHeight="251660288" behindDoc="0" locked="0" layoutInCell="1" allowOverlap="1">
            <wp:simplePos x="0" y="0"/>
            <wp:positionH relativeFrom="column">
              <wp:posOffset>3905250</wp:posOffset>
            </wp:positionH>
            <wp:positionV relativeFrom="paragraph">
              <wp:posOffset>125730</wp:posOffset>
            </wp:positionV>
            <wp:extent cx="1362075" cy="1247775"/>
            <wp:effectExtent l="19050" t="0" r="9525" b="0"/>
            <wp:wrapSquare wrapText="bothSides"/>
            <wp:docPr id="5" name="图片 1" descr="C:\Users\liu\Desktop\image,15293,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Desktop\image,15293,en.jpg"/>
                    <pic:cNvPicPr>
                      <a:picLocks noChangeAspect="1" noChangeArrowheads="1"/>
                    </pic:cNvPicPr>
                  </pic:nvPicPr>
                  <pic:blipFill>
                    <a:blip r:embed="rId7" cstate="print"/>
                    <a:srcRect/>
                    <a:stretch>
                      <a:fillRect/>
                    </a:stretch>
                  </pic:blipFill>
                  <pic:spPr bwMode="auto">
                    <a:xfrm>
                      <a:off x="0" y="0"/>
                      <a:ext cx="1362075" cy="1247775"/>
                    </a:xfrm>
                    <a:prstGeom prst="rect">
                      <a:avLst/>
                    </a:prstGeom>
                    <a:noFill/>
                    <a:ln w="9525">
                      <a:noFill/>
                      <a:miter lim="800000"/>
                      <a:headEnd/>
                      <a:tailEnd/>
                    </a:ln>
                  </pic:spPr>
                </pic:pic>
              </a:graphicData>
            </a:graphic>
          </wp:anchor>
        </w:drawing>
      </w:r>
      <w:r w:rsidRPr="00701CAA">
        <w:rPr>
          <w:rFonts w:ascii="仿宋_GB2312" w:eastAsia="仿宋_GB2312" w:hint="eastAsia"/>
          <w:sz w:val="28"/>
          <w:szCs w:val="24"/>
        </w:rPr>
        <w:t>英国斯旺西大学知名法学教授，中国政法大学客座教授。主要研究方向：国际公法、欧盟法、比较国际法。在斯旺西大学为法学硕士生开设法学、全球化与贸易等课程，为本科生开设欧盟法等课程。曾获比利时欧盟学院法学硕士，加州大学伯克利分校法学硕士，德国基尔大学法学博士，并获得海德堡大学特许任教资格。主要著作有《全球法律秩序理论构建》（与安德鲁·哈尔平（Andrew Halpin）教授合著），《国际法的正当性》（与吕迪格·沃尔夫鲁姆（Rudiger Wolfrum）教授合著），《国际法缔约发展》（与吕迪格·沃尔夫鲁姆（Rudiger Wolfrum）教授合著）等，其论文《联合国成员国的正当性》被收录到德国著名国际法学家、前国际海洋法法庭庭长吕迪格·沃尔夫鲁姆教授主编的论文集《共存、合作与团结》中。</w:t>
      </w:r>
    </w:p>
    <w:p w:rsidR="00667BDB" w:rsidRDefault="00667BDB" w:rsidP="00667BDB">
      <w:pPr>
        <w:spacing w:line="440" w:lineRule="exact"/>
        <w:ind w:firstLineChars="200" w:firstLine="560"/>
        <w:rPr>
          <w:rFonts w:ascii="仿宋_GB2312" w:eastAsia="仿宋_GB2312" w:hAnsi="Times New Roman"/>
          <w:color w:val="000000"/>
          <w:sz w:val="28"/>
          <w:szCs w:val="24"/>
        </w:rPr>
      </w:pPr>
    </w:p>
    <w:p w:rsidR="00667BDB" w:rsidRPr="00701CAA" w:rsidRDefault="00667BDB" w:rsidP="00667BDB">
      <w:pPr>
        <w:spacing w:line="440" w:lineRule="exact"/>
        <w:ind w:firstLineChars="200" w:firstLine="560"/>
        <w:rPr>
          <w:rFonts w:ascii="仿宋_GB2312" w:eastAsia="仿宋_GB2312"/>
          <w:sz w:val="28"/>
          <w:szCs w:val="24"/>
        </w:rPr>
      </w:pPr>
      <w:r w:rsidRPr="00701CAA">
        <w:rPr>
          <w:rFonts w:ascii="仿宋_GB2312" w:eastAsia="仿宋_GB2312" w:hAnsi="Times New Roman" w:hint="eastAsia"/>
          <w:color w:val="000000"/>
          <w:sz w:val="28"/>
          <w:szCs w:val="24"/>
        </w:rPr>
        <w:lastRenderedPageBreak/>
        <w:t>3.</w:t>
      </w:r>
      <w:r w:rsidRPr="00701CAA">
        <w:rPr>
          <w:rFonts w:ascii="仿宋_GB2312" w:eastAsia="仿宋_GB2312" w:hint="eastAsia"/>
          <w:sz w:val="28"/>
          <w:szCs w:val="24"/>
        </w:rPr>
        <w:t xml:space="preserve"> 瓦伦蒂娜·沃尔普（</w:t>
      </w:r>
      <w:r w:rsidRPr="00701CAA">
        <w:rPr>
          <w:rFonts w:ascii="Calibri" w:eastAsia="仿宋_GB2312" w:hAnsi="Calibri" w:cs="Times New Roman" w:hint="eastAsia"/>
          <w:sz w:val="28"/>
          <w:szCs w:val="24"/>
        </w:rPr>
        <w:t> </w:t>
      </w:r>
      <w:r w:rsidRPr="00701CAA">
        <w:rPr>
          <w:rFonts w:ascii="仿宋_GB2312" w:eastAsia="仿宋_GB2312" w:hAnsi="Calibri" w:cs="Times New Roman" w:hint="eastAsia"/>
          <w:sz w:val="28"/>
          <w:szCs w:val="24"/>
        </w:rPr>
        <w:t>Volpe Valentina</w:t>
      </w:r>
      <w:r w:rsidRPr="00701CAA">
        <w:rPr>
          <w:rFonts w:ascii="仿宋_GB2312" w:eastAsia="仿宋_GB2312" w:hint="eastAsia"/>
          <w:sz w:val="28"/>
          <w:szCs w:val="24"/>
        </w:rPr>
        <w:t>）</w:t>
      </w:r>
    </w:p>
    <w:p w:rsidR="00667BDB" w:rsidRPr="00701CAA" w:rsidRDefault="00667BDB" w:rsidP="00667BDB">
      <w:pPr>
        <w:pStyle w:val="1"/>
        <w:spacing w:line="440" w:lineRule="exact"/>
        <w:ind w:left="0" w:firstLineChars="200" w:firstLine="560"/>
        <w:rPr>
          <w:rFonts w:ascii="仿宋_GB2312" w:eastAsia="仿宋_GB2312"/>
          <w:sz w:val="28"/>
          <w:szCs w:val="24"/>
        </w:rPr>
      </w:pPr>
      <w:r w:rsidRPr="00701CAA">
        <w:rPr>
          <w:rFonts w:ascii="仿宋_GB2312" w:eastAsia="仿宋_GB2312" w:hint="eastAsia"/>
          <w:noProof/>
          <w:sz w:val="28"/>
          <w:szCs w:val="24"/>
        </w:rPr>
        <w:drawing>
          <wp:anchor distT="0" distB="0" distL="114300" distR="114300" simplePos="0" relativeHeight="251661312" behindDoc="0" locked="0" layoutInCell="1" allowOverlap="1">
            <wp:simplePos x="0" y="0"/>
            <wp:positionH relativeFrom="column">
              <wp:posOffset>4067175</wp:posOffset>
            </wp:positionH>
            <wp:positionV relativeFrom="paragraph">
              <wp:posOffset>175260</wp:posOffset>
            </wp:positionV>
            <wp:extent cx="1085850" cy="1171575"/>
            <wp:effectExtent l="19050" t="0" r="0" b="0"/>
            <wp:wrapSquare wrapText="bothSides"/>
            <wp:docPr id="11" name="图片 1" descr="C:\Users\liu\Desktop\0140x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Desktop\0140x0180.jpg"/>
                    <pic:cNvPicPr>
                      <a:picLocks noChangeAspect="1" noChangeArrowheads="1"/>
                    </pic:cNvPicPr>
                  </pic:nvPicPr>
                  <pic:blipFill>
                    <a:blip r:embed="rId8" cstate="print"/>
                    <a:srcRect/>
                    <a:stretch>
                      <a:fillRect/>
                    </a:stretch>
                  </pic:blipFill>
                  <pic:spPr bwMode="auto">
                    <a:xfrm>
                      <a:off x="0" y="0"/>
                      <a:ext cx="1085850" cy="1171575"/>
                    </a:xfrm>
                    <a:prstGeom prst="rect">
                      <a:avLst/>
                    </a:prstGeom>
                    <a:noFill/>
                    <a:ln w="9525">
                      <a:noFill/>
                      <a:miter lim="800000"/>
                      <a:headEnd/>
                      <a:tailEnd/>
                    </a:ln>
                  </pic:spPr>
                </pic:pic>
              </a:graphicData>
            </a:graphic>
          </wp:anchor>
        </w:drawing>
      </w:r>
      <w:r w:rsidRPr="00701CAA">
        <w:rPr>
          <w:rFonts w:ascii="仿宋_GB2312" w:eastAsia="仿宋_GB2312" w:hint="eastAsia"/>
          <w:sz w:val="28"/>
          <w:szCs w:val="24"/>
        </w:rPr>
        <w:t>意大利籍，现就任于马克斯·普朗克比较公法和国际法研究所。主要研究领域为民主促进、人权、国际公法、国际组织（重点是欧洲理事会和欧盟）和欧洲人权法。2002-2005年取得的里雅斯特大学法学专业J.D学位。2005-2007年取得的里雅斯特大学欧洲法、国际法和比较法学专业的L.LM学位（法学硕士）。2008-2012年取得意大利人文科学研究所司法学和法理学博士学位，曾在马克思</w:t>
      </w:r>
      <w:r w:rsidRPr="00701CAA">
        <w:rPr>
          <w:rFonts w:ascii="仿宋_GB2312" w:hint="eastAsia"/>
          <w:sz w:val="28"/>
          <w:szCs w:val="24"/>
        </w:rPr>
        <w:t>•</w:t>
      </w:r>
      <w:r w:rsidRPr="00701CAA">
        <w:rPr>
          <w:rFonts w:ascii="仿宋_GB2312" w:eastAsia="仿宋_GB2312" w:hint="eastAsia"/>
          <w:sz w:val="28"/>
          <w:szCs w:val="24"/>
        </w:rPr>
        <w:t>普朗克比较公法和国际法研究所任高级研究员和意大利乌迪内@uxilia非政府组织担任人权项目经理。曾出版《欧洲人权法院和司法的独立性：权利的法治？》等近十部著作。2010-2011年在耶鲁法学院任客座研究员。通晓意大利语，英语，法语，西班牙语和德语五国语言。</w:t>
      </w:r>
    </w:p>
    <w:p w:rsidR="00667BDB" w:rsidRPr="00701CAA" w:rsidRDefault="00667BDB" w:rsidP="00667BDB">
      <w:pPr>
        <w:pStyle w:val="1"/>
        <w:spacing w:line="440" w:lineRule="exact"/>
        <w:ind w:left="0" w:firstLineChars="200" w:firstLine="560"/>
        <w:rPr>
          <w:rFonts w:ascii="仿宋_GB2312" w:eastAsia="仿宋_GB2312"/>
          <w:sz w:val="28"/>
          <w:szCs w:val="24"/>
        </w:rPr>
      </w:pPr>
      <w:r w:rsidRPr="00701CAA">
        <w:rPr>
          <w:rFonts w:ascii="仿宋_GB2312" w:eastAsia="仿宋_GB2312" w:hint="eastAsia"/>
          <w:sz w:val="28"/>
          <w:szCs w:val="24"/>
        </w:rPr>
        <w:t>4. 史蒂芬·弗里兰（Steven Freeland）</w:t>
      </w:r>
    </w:p>
    <w:p w:rsidR="00667BDB" w:rsidRPr="00701CAA" w:rsidRDefault="00667BDB" w:rsidP="00667BDB">
      <w:pPr>
        <w:spacing w:line="440" w:lineRule="exact"/>
        <w:ind w:firstLineChars="200" w:firstLine="560"/>
        <w:rPr>
          <w:rFonts w:ascii="仿宋_GB2312" w:eastAsia="仿宋_GB2312"/>
          <w:sz w:val="28"/>
          <w:szCs w:val="24"/>
        </w:rPr>
      </w:pPr>
      <w:r>
        <w:rPr>
          <w:rFonts w:ascii="仿宋_GB2312" w:eastAsia="仿宋_GB2312" w:hint="eastAsia"/>
          <w:noProof/>
          <w:sz w:val="28"/>
          <w:szCs w:val="24"/>
        </w:rPr>
        <w:drawing>
          <wp:anchor distT="0" distB="0" distL="114300" distR="114300" simplePos="0" relativeHeight="251662336" behindDoc="0" locked="0" layoutInCell="1" allowOverlap="1">
            <wp:simplePos x="0" y="0"/>
            <wp:positionH relativeFrom="column">
              <wp:posOffset>4067175</wp:posOffset>
            </wp:positionH>
            <wp:positionV relativeFrom="paragraph">
              <wp:posOffset>127635</wp:posOffset>
            </wp:positionV>
            <wp:extent cx="1047750" cy="1428750"/>
            <wp:effectExtent l="19050" t="0" r="0" b="0"/>
            <wp:wrapSquare wrapText="bothSides"/>
            <wp:docPr id="12" name="图片 1" descr="C:\Users\liu\Desktop\steven_fre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Desktop\steven_freeland.jpg"/>
                    <pic:cNvPicPr>
                      <a:picLocks noChangeAspect="1" noChangeArrowheads="1"/>
                    </pic:cNvPicPr>
                  </pic:nvPicPr>
                  <pic:blipFill>
                    <a:blip r:embed="rId9" cstate="print"/>
                    <a:srcRect/>
                    <a:stretch>
                      <a:fillRect/>
                    </a:stretch>
                  </pic:blipFill>
                  <pic:spPr bwMode="auto">
                    <a:xfrm>
                      <a:off x="0" y="0"/>
                      <a:ext cx="1047750" cy="1428750"/>
                    </a:xfrm>
                    <a:prstGeom prst="rect">
                      <a:avLst/>
                    </a:prstGeom>
                    <a:noFill/>
                    <a:ln w="9525">
                      <a:noFill/>
                      <a:miter lim="800000"/>
                      <a:headEnd/>
                      <a:tailEnd/>
                    </a:ln>
                  </pic:spPr>
                </pic:pic>
              </a:graphicData>
            </a:graphic>
          </wp:anchor>
        </w:drawing>
      </w:r>
      <w:r w:rsidRPr="00701CAA">
        <w:rPr>
          <w:rFonts w:ascii="仿宋_GB2312" w:eastAsia="仿宋_GB2312" w:hint="eastAsia"/>
          <w:sz w:val="28"/>
          <w:szCs w:val="24"/>
        </w:rPr>
        <w:t>西悉尼大学国际法教授、司法研究小组的成员、法学院的研究主任，哥本哈根大学国际法永久客座教授，维也纳大学客座教授，国际法院iCourts卓越中心“居里夫人客座教授”，伦敦空间政策和法律研究所教师成员，澳大利亚研究委员会研究建议专家评审员。任教方向为国际刑法、太空法、国际公法、人权法和国际模拟商事法庭方面。曾担任国际刑事法庭上诉庭、海牙国际法庭访问专家，丹麦外交部国际刑事法庭特别顾问，美国全球侵略预防研究所顾问，伦敦国际法协会空间法委员会成员，巴黎空间法国际组织研究理事会理事，澳大利亚和新西兰国际法学会会员，提姆菲舍全球贸易和金融研究中心成员。任澳大利亚人权杂志、澳大利亚国际法杂志等国际期刊编委，出版一系列空间法研究领域书籍。</w:t>
      </w:r>
    </w:p>
    <w:p w:rsidR="00667BDB" w:rsidRPr="00701CAA" w:rsidRDefault="00667BDB" w:rsidP="00667BDB">
      <w:pPr>
        <w:spacing w:line="440" w:lineRule="exact"/>
        <w:ind w:right="280"/>
        <w:jc w:val="left"/>
        <w:rPr>
          <w:rFonts w:ascii="宋体" w:eastAsia="宋体" w:hAnsi="宋体" w:cs="宋体"/>
          <w:sz w:val="28"/>
        </w:rPr>
      </w:pPr>
    </w:p>
    <w:p w:rsidR="00321CF4" w:rsidRPr="00667BDB" w:rsidRDefault="00321CF4"/>
    <w:sectPr w:rsidR="00321CF4" w:rsidRPr="00667BDB" w:rsidSect="00D506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CF4" w:rsidRDefault="00321CF4" w:rsidP="00667BDB">
      <w:r>
        <w:separator/>
      </w:r>
    </w:p>
  </w:endnote>
  <w:endnote w:type="continuationSeparator" w:id="1">
    <w:p w:rsidR="00321CF4" w:rsidRDefault="00321CF4" w:rsidP="00667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CF4" w:rsidRDefault="00321CF4" w:rsidP="00667BDB">
      <w:r>
        <w:separator/>
      </w:r>
    </w:p>
  </w:footnote>
  <w:footnote w:type="continuationSeparator" w:id="1">
    <w:p w:rsidR="00321CF4" w:rsidRDefault="00321CF4" w:rsidP="00667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BDB"/>
    <w:rsid w:val="00321CF4"/>
    <w:rsid w:val="00667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BDB"/>
    <w:rPr>
      <w:sz w:val="18"/>
      <w:szCs w:val="18"/>
    </w:rPr>
  </w:style>
  <w:style w:type="paragraph" w:styleId="a4">
    <w:name w:val="footer"/>
    <w:basedOn w:val="a"/>
    <w:link w:val="Char0"/>
    <w:uiPriority w:val="99"/>
    <w:semiHidden/>
    <w:unhideWhenUsed/>
    <w:rsid w:val="00667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BDB"/>
    <w:rPr>
      <w:sz w:val="18"/>
      <w:szCs w:val="18"/>
    </w:rPr>
  </w:style>
  <w:style w:type="paragraph" w:customStyle="1" w:styleId="1">
    <w:name w:val="列出段落1"/>
    <w:basedOn w:val="a"/>
    <w:uiPriority w:val="34"/>
    <w:qFormat/>
    <w:rsid w:val="00667BDB"/>
    <w:pPr>
      <w:ind w:left="720"/>
      <w:contextualSpacing/>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Company>cupl</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宋歌</dc:creator>
  <cp:keywords/>
  <dc:description/>
  <cp:lastModifiedBy>宋歌</cp:lastModifiedBy>
  <cp:revision>2</cp:revision>
  <dcterms:created xsi:type="dcterms:W3CDTF">2015-05-20T08:46:00Z</dcterms:created>
  <dcterms:modified xsi:type="dcterms:W3CDTF">2015-05-20T08:46:00Z</dcterms:modified>
</cp:coreProperties>
</file>