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 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国际公法、国际环境法、国际人权法、国际海洋法 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  <w:lang w:val="en-US" w:eastAsia="zh-CN"/>
        </w:rPr>
        <w:t>5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  <w:lang w:val="en-US" w:eastAsia="zh-CN"/>
        </w:rPr>
        <w:t>6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4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9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581"/>
        <w:gridCol w:w="871"/>
        <w:gridCol w:w="87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1030000201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国公所国私所国经所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2-4</w:t>
            </w:r>
            <w:r>
              <w:rPr>
                <w:rFonts w:eastAsia="黑体"/>
                <w:bCs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7周</w:t>
            </w:r>
          </w:p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8-10周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二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国私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5-6周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国际法经典案例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1030109302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马呈元等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教授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2-10周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5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9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1080000101/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一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</w:t>
            </w: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color w:val="auto"/>
                <w:szCs w:val="21"/>
              </w:rPr>
              <w:t>补课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国际经济法专题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0" w:name="OLE_LINK17"/>
            <w:bookmarkStart w:id="1" w:name="OLE_LINK18"/>
            <w:r>
              <w:rPr>
                <w:color w:val="auto"/>
                <w:szCs w:val="21"/>
              </w:rPr>
              <w:t>国经所</w:t>
            </w:r>
            <w:bookmarkEnd w:id="0"/>
            <w:bookmarkEnd w:id="1"/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1030109202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ind w:firstLine="105" w:firstLineChars="50"/>
              <w:jc w:val="center"/>
              <w:rPr>
                <w:color w:val="auto"/>
              </w:rPr>
            </w:pPr>
            <w:r>
              <w:rPr>
                <w:color w:val="auto"/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2" w:name="_Hlk292891819"/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国际海洋法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1030109327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高健军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国际环境法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1030109310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林灿铃</w:t>
            </w:r>
          </w:p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张力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2-8周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国际法基础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国公所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国私所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国经所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2-10周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限本院学生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国际私法(含国际民事诉讼与仲裁)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  <w:lang w:val="en-US" w:eastAsia="zh-CN"/>
        </w:rPr>
        <w:t>5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  <w:lang w:val="en-US" w:eastAsia="zh-CN"/>
        </w:rPr>
        <w:t>6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华文行楷"/>
          <w:szCs w:val="21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4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9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581"/>
        <w:gridCol w:w="871"/>
        <w:gridCol w:w="87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1030000201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国公所国私所国经所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2-4</w:t>
            </w:r>
            <w:r>
              <w:rPr>
                <w:rFonts w:eastAsia="黑体"/>
                <w:bCs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7周</w:t>
            </w:r>
          </w:p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8-10周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二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国私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5-6周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国际私法前沿问题研究</w:t>
            </w:r>
          </w:p>
        </w:tc>
        <w:tc>
          <w:tcPr>
            <w:tcW w:w="130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1030109323</w:t>
            </w:r>
          </w:p>
        </w:tc>
        <w:tc>
          <w:tcPr>
            <w:tcW w:w="72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国私所</w:t>
            </w:r>
          </w:p>
        </w:tc>
        <w:tc>
          <w:tcPr>
            <w:tcW w:w="873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ind w:firstLine="210" w:firstLineChars="100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1-9周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5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9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1080000101/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一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国际法（补课）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ind w:firstLine="105" w:firstLineChars="5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朱建庚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国际经济法专题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1030109202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国际民事诉讼与仲裁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1030109305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杜新丽</w:t>
            </w:r>
          </w:p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朱子勤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国际法基础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国公所</w:t>
            </w:r>
          </w:p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国私所</w:t>
            </w:r>
          </w:p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2-10周</w:t>
            </w:r>
          </w:p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限本院外留生</w:t>
            </w:r>
          </w:p>
        </w:tc>
      </w:tr>
    </w:tbl>
    <w:p>
      <w:pPr>
        <w:jc w:val="center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sz w:val="24"/>
          <w:u w:val="single"/>
        </w:rPr>
      </w:pPr>
    </w:p>
    <w:p>
      <w:pPr>
        <w:jc w:val="both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color w:val="auto"/>
          <w:sz w:val="24"/>
        </w:rPr>
      </w:pPr>
      <w:r>
        <w:rPr>
          <w:rFonts w:eastAsia="黑体"/>
          <w:color w:val="auto"/>
          <w:sz w:val="24"/>
          <w:u w:val="single"/>
        </w:rPr>
        <w:t xml:space="preserve">国际法 </w:t>
      </w:r>
      <w:r>
        <w:rPr>
          <w:rFonts w:eastAsia="黑体"/>
          <w:color w:val="auto"/>
          <w:sz w:val="24"/>
        </w:rPr>
        <w:t>专业</w:t>
      </w:r>
      <w:r>
        <w:rPr>
          <w:rFonts w:eastAsia="黑体"/>
          <w:color w:val="auto"/>
          <w:sz w:val="24"/>
          <w:u w:val="single"/>
        </w:rPr>
        <w:t xml:space="preserve"> 国际经济法、WTO法律制度 </w:t>
      </w:r>
      <w:r>
        <w:rPr>
          <w:rFonts w:eastAsia="黑体"/>
          <w:color w:val="auto"/>
          <w:sz w:val="24"/>
        </w:rPr>
        <w:t>方向硕士生</w:t>
      </w:r>
    </w:p>
    <w:p>
      <w:pPr>
        <w:jc w:val="center"/>
        <w:rPr>
          <w:rFonts w:eastAsia="黑体"/>
          <w:color w:val="auto"/>
          <w:sz w:val="24"/>
        </w:rPr>
      </w:pPr>
    </w:p>
    <w:p>
      <w:pPr>
        <w:jc w:val="center"/>
        <w:rPr>
          <w:rFonts w:eastAsia="黑体"/>
          <w:color w:val="auto"/>
          <w:szCs w:val="21"/>
        </w:rPr>
      </w:pPr>
      <w:r>
        <w:rPr>
          <w:rFonts w:eastAsia="黑体"/>
          <w:color w:val="auto"/>
          <w:szCs w:val="21"/>
        </w:rPr>
        <w:t xml:space="preserve"> 201</w:t>
      </w:r>
      <w:r>
        <w:rPr>
          <w:rFonts w:hint="eastAsia" w:eastAsia="黑体"/>
          <w:color w:val="auto"/>
          <w:szCs w:val="21"/>
          <w:lang w:val="en-US" w:eastAsia="zh-CN"/>
        </w:rPr>
        <w:t>5</w:t>
      </w:r>
      <w:r>
        <w:rPr>
          <w:rFonts w:eastAsia="黑体"/>
          <w:color w:val="auto"/>
          <w:szCs w:val="21"/>
        </w:rPr>
        <w:t>—201</w:t>
      </w:r>
      <w:r>
        <w:rPr>
          <w:rFonts w:hint="eastAsia" w:eastAsia="黑体"/>
          <w:color w:val="auto"/>
          <w:szCs w:val="21"/>
          <w:lang w:val="en-US" w:eastAsia="zh-CN"/>
        </w:rPr>
        <w:t>6</w:t>
      </w:r>
      <w:r>
        <w:rPr>
          <w:rFonts w:eastAsia="黑体"/>
          <w:color w:val="auto"/>
          <w:szCs w:val="21"/>
        </w:rPr>
        <w:t>学年第一学期课程表</w:t>
      </w:r>
    </w:p>
    <w:p>
      <w:pPr>
        <w:jc w:val="center"/>
        <w:rPr>
          <w:rFonts w:eastAsia="黑体"/>
          <w:color w:val="auto"/>
          <w:szCs w:val="21"/>
        </w:rPr>
      </w:pPr>
    </w:p>
    <w:p>
      <w:pPr>
        <w:jc w:val="center"/>
        <w:rPr>
          <w:rFonts w:eastAsia="华文行楷"/>
          <w:color w:val="auto"/>
          <w:szCs w:val="21"/>
          <w:u w:val="single"/>
        </w:rPr>
      </w:pPr>
      <w:r>
        <w:rPr>
          <w:rFonts w:eastAsia="华文行楷"/>
          <w:color w:val="auto"/>
          <w:szCs w:val="21"/>
        </w:rPr>
        <w:t>201</w:t>
      </w:r>
      <w:r>
        <w:rPr>
          <w:rFonts w:hint="eastAsia" w:eastAsia="华文行楷"/>
          <w:color w:val="auto"/>
          <w:szCs w:val="21"/>
          <w:lang w:val="en-US" w:eastAsia="zh-CN"/>
        </w:rPr>
        <w:t>4</w:t>
      </w:r>
      <w:r>
        <w:rPr>
          <w:rFonts w:eastAsia="华文行楷"/>
          <w:color w:val="auto"/>
          <w:szCs w:val="21"/>
        </w:rPr>
        <w:t>级第三学期              人数</w:t>
      </w:r>
      <w:r>
        <w:rPr>
          <w:rFonts w:eastAsia="华文行楷"/>
          <w:color w:val="auto"/>
          <w:szCs w:val="21"/>
          <w:u w:val="single"/>
        </w:rPr>
        <w:t xml:space="preserve">     </w:t>
      </w:r>
      <w:r>
        <w:rPr>
          <w:rFonts w:eastAsia="华文行楷"/>
          <w:color w:val="auto"/>
          <w:szCs w:val="21"/>
        </w:rPr>
        <w:t>人</w:t>
      </w:r>
    </w:p>
    <w:tbl>
      <w:tblPr>
        <w:tblStyle w:val="9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36"/>
        <w:gridCol w:w="1304"/>
        <w:gridCol w:w="723"/>
        <w:gridCol w:w="723"/>
        <w:gridCol w:w="613"/>
        <w:gridCol w:w="833"/>
        <w:gridCol w:w="739"/>
        <w:gridCol w:w="584"/>
        <w:gridCol w:w="871"/>
        <w:gridCol w:w="87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5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国际法学方法论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1030000201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3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5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国公所国私所国经所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2-4</w:t>
            </w:r>
            <w:r>
              <w:rPr>
                <w:rFonts w:eastAsia="黑体"/>
                <w:bCs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7周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8-10周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4" w:type="dxa"/>
            <w:vMerge w:val="continue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736" w:type="dxa"/>
            <w:vMerge w:val="continue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widowControl/>
              <w:spacing w:line="312" w:lineRule="auto"/>
              <w:rPr>
                <w:color w:val="auto"/>
                <w:szCs w:val="21"/>
              </w:rPr>
            </w:pPr>
          </w:p>
        </w:tc>
        <w:tc>
          <w:tcPr>
            <w:tcW w:w="833" w:type="dxa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二</w:t>
            </w:r>
          </w:p>
        </w:tc>
        <w:tc>
          <w:tcPr>
            <w:tcW w:w="739" w:type="dxa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  <w:bookmarkStart w:id="4" w:name="_GoBack"/>
            <w:bookmarkEnd w:id="4"/>
          </w:p>
        </w:tc>
        <w:tc>
          <w:tcPr>
            <w:tcW w:w="5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国私所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  <w:t>5-6周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国际贸易法专题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1030109307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李巍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史晓丽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</w:tc>
        <w:tc>
          <w:tcPr>
            <w:tcW w:w="1205" w:type="dxa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国际投资法专题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1030109404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祁欢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</w:tc>
        <w:tc>
          <w:tcPr>
            <w:tcW w:w="1205" w:type="dxa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美国对外贸易法 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1030109458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五 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1-5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成晓霞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spacing w:line="312" w:lineRule="auto"/>
              <w:ind w:firstLine="210" w:firstLineChars="10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欧盟法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1030109402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四 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10-13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spacing w:line="312" w:lineRule="auto"/>
              <w:ind w:firstLine="84" w:firstLineChars="50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许浩明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教授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spacing w:line="312" w:lineRule="auto"/>
              <w:ind w:firstLine="210" w:firstLineChars="100"/>
              <w:jc w:val="left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国际竞争法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1030109424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6-9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戴龙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spacing w:line="312" w:lineRule="auto"/>
              <w:ind w:firstLine="210" w:firstLineChars="10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2-10周</w:t>
            </w:r>
          </w:p>
        </w:tc>
      </w:tr>
    </w:tbl>
    <w:p>
      <w:pPr>
        <w:jc w:val="center"/>
        <w:rPr>
          <w:rFonts w:eastAsia="华文行楷"/>
          <w:color w:val="auto"/>
          <w:szCs w:val="21"/>
        </w:rPr>
      </w:pPr>
    </w:p>
    <w:p>
      <w:pPr>
        <w:jc w:val="center"/>
        <w:rPr>
          <w:rFonts w:eastAsia="华文行楷"/>
          <w:color w:val="auto"/>
          <w:szCs w:val="21"/>
        </w:rPr>
      </w:pPr>
    </w:p>
    <w:p>
      <w:pPr>
        <w:jc w:val="center"/>
        <w:rPr>
          <w:rFonts w:eastAsia="华文行楷"/>
          <w:color w:val="auto"/>
          <w:szCs w:val="21"/>
          <w:u w:val="single"/>
        </w:rPr>
      </w:pPr>
      <w:r>
        <w:rPr>
          <w:rFonts w:eastAsia="华文行楷"/>
          <w:color w:val="auto"/>
          <w:szCs w:val="21"/>
        </w:rPr>
        <w:t>201</w:t>
      </w:r>
      <w:r>
        <w:rPr>
          <w:rFonts w:hint="eastAsia" w:eastAsia="华文行楷"/>
          <w:color w:val="auto"/>
          <w:szCs w:val="21"/>
          <w:lang w:val="en-US" w:eastAsia="zh-CN"/>
        </w:rPr>
        <w:t>5</w:t>
      </w:r>
      <w:r>
        <w:rPr>
          <w:rFonts w:eastAsia="华文行楷"/>
          <w:color w:val="auto"/>
          <w:szCs w:val="21"/>
        </w:rPr>
        <w:t>级第一学期              人数</w:t>
      </w:r>
      <w:r>
        <w:rPr>
          <w:rFonts w:eastAsia="华文行楷"/>
          <w:color w:val="auto"/>
          <w:szCs w:val="21"/>
          <w:u w:val="single"/>
        </w:rPr>
        <w:t xml:space="preserve">     </w:t>
      </w:r>
      <w:r>
        <w:rPr>
          <w:rFonts w:eastAsia="华文行楷"/>
          <w:color w:val="auto"/>
          <w:szCs w:val="21"/>
        </w:rPr>
        <w:t>人</w:t>
      </w:r>
    </w:p>
    <w:tbl>
      <w:tblPr>
        <w:tblStyle w:val="9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1080000101/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一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科地101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国际法（补课）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color w:val="auto"/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朱建庚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国际经济法专题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1030109202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color w:val="auto"/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海商法专题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1030109329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限选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三 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1-5 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张丽英等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ind w:firstLine="105" w:firstLineChars="5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3" w:name="_Hlk292892038"/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国际投资法专题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1030109404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祁欢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美国对外贸易法 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1030109458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五 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成晓霞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欧盟法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1030109402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四 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10-13</w:t>
            </w: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许浩明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2-10</w:t>
            </w:r>
            <w:r>
              <w:rPr>
                <w:color w:val="auto"/>
                <w:kern w:val="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国际竞争法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1030109424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w w:val="8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戴龙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2-10周</w:t>
            </w:r>
          </w:p>
        </w:tc>
      </w:tr>
      <w:bookmarkEnd w:id="3"/>
    </w:tbl>
    <w:p>
      <w:pPr>
        <w:jc w:val="center"/>
        <w:rPr>
          <w:rFonts w:eastAsia="黑体"/>
          <w:color w:val="auto"/>
          <w:sz w:val="28"/>
          <w:szCs w:val="28"/>
          <w:u w:val="single"/>
        </w:rPr>
      </w:pPr>
    </w:p>
    <w:p>
      <w:pPr>
        <w:widowControl/>
        <w:jc w:val="left"/>
        <w:rPr>
          <w:b/>
          <w:bCs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行楷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21D731A"/>
    <w:rsid w:val="0273008D"/>
    <w:rsid w:val="063958C0"/>
    <w:rsid w:val="06E11F98"/>
    <w:rsid w:val="06FD79D5"/>
    <w:rsid w:val="085617A8"/>
    <w:rsid w:val="09533816"/>
    <w:rsid w:val="09880531"/>
    <w:rsid w:val="0A282ABB"/>
    <w:rsid w:val="0E0A50A0"/>
    <w:rsid w:val="10FD6ED0"/>
    <w:rsid w:val="11487335"/>
    <w:rsid w:val="11AB268E"/>
    <w:rsid w:val="158A01D8"/>
    <w:rsid w:val="1617080E"/>
    <w:rsid w:val="16B63947"/>
    <w:rsid w:val="1B4C35F2"/>
    <w:rsid w:val="1C05089D"/>
    <w:rsid w:val="1D6F7E96"/>
    <w:rsid w:val="24EE5BAD"/>
    <w:rsid w:val="25782C7E"/>
    <w:rsid w:val="27745FB8"/>
    <w:rsid w:val="28C16173"/>
    <w:rsid w:val="2C6610B2"/>
    <w:rsid w:val="2F560DF4"/>
    <w:rsid w:val="35C00130"/>
    <w:rsid w:val="3B095115"/>
    <w:rsid w:val="3B976773"/>
    <w:rsid w:val="3D0855C5"/>
    <w:rsid w:val="3DC878FF"/>
    <w:rsid w:val="3E541D1D"/>
    <w:rsid w:val="479C3EA9"/>
    <w:rsid w:val="4A2E024F"/>
    <w:rsid w:val="4D836D4E"/>
    <w:rsid w:val="551D5134"/>
    <w:rsid w:val="5AA91437"/>
    <w:rsid w:val="5AC508AF"/>
    <w:rsid w:val="5C4F4202"/>
    <w:rsid w:val="5D9B3C35"/>
    <w:rsid w:val="5F1F0F41"/>
    <w:rsid w:val="69CF2BCC"/>
    <w:rsid w:val="6B453F64"/>
    <w:rsid w:val="77882577"/>
    <w:rsid w:val="78241561"/>
    <w:rsid w:val="78354160"/>
    <w:rsid w:val="790A0289"/>
    <w:rsid w:val="797F65F9"/>
    <w:rsid w:val="7C0B31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tabs>
        <w:tab w:val="right" w:leader="dot" w:pos="9628"/>
      </w:tabs>
      <w:spacing w:before="120" w:after="120"/>
    </w:pPr>
    <w:rPr>
      <w:rFonts w:ascii="宋体" w:hAnsi="宋体"/>
      <w:b/>
      <w:bCs/>
      <w:caps/>
      <w:sz w:val="32"/>
      <w:szCs w:val="3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0">
    <w:name w:val="样式4"/>
    <w:basedOn w:val="1"/>
    <w:uiPriority w:val="0"/>
    <w:pPr>
      <w:spacing w:line="360" w:lineRule="auto"/>
      <w:ind w:firstLine="562" w:firstLineChars="200"/>
    </w:pPr>
    <w:rPr>
      <w:rFonts w:ascii="宋体" w:hAnsi="宋体"/>
      <w:b/>
      <w:sz w:val="28"/>
      <w:szCs w:val="2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13</Pages>
  <Words>1225</Words>
  <Characters>6987</Characters>
  <Lines>58</Lines>
  <Paragraphs>16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2014-06-25T16:10:00Z</dcterms:created>
  <dc:creator>番茄花园</dc:creator>
  <cp:lastModifiedBy>Administrator</cp:lastModifiedBy>
  <cp:lastPrinted>2014-06-11T06:34:00Z</cp:lastPrinted>
  <dcterms:modified xsi:type="dcterms:W3CDTF">2015-06-04T01:00:57Z</dcterms:modified>
  <dc:title>国际法  专业 国际经济法、WTO 方向硕士生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