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4E" w:rsidRDefault="000E0425" w:rsidP="000E0425">
      <w:pPr>
        <w:jc w:val="center"/>
        <w:rPr>
          <w:rFonts w:asciiTheme="majorEastAsia" w:eastAsiaTheme="majorEastAsia" w:hAnsiTheme="majorEastAsia" w:hint="eastAsia"/>
          <w:b/>
          <w:color w:val="242424"/>
          <w:sz w:val="30"/>
          <w:szCs w:val="30"/>
          <w:shd w:val="clear" w:color="auto" w:fill="FFFFFF"/>
        </w:rPr>
      </w:pPr>
      <w:r w:rsidRPr="000E0425">
        <w:rPr>
          <w:rFonts w:asciiTheme="majorEastAsia" w:eastAsiaTheme="majorEastAsia" w:hAnsiTheme="majorEastAsia" w:hint="eastAsia"/>
          <w:b/>
          <w:color w:val="242424"/>
          <w:sz w:val="30"/>
          <w:szCs w:val="30"/>
          <w:shd w:val="clear" w:color="auto" w:fill="FFFFFF"/>
        </w:rPr>
        <w:t>最高人民法院2016年度司法研究重大课题题目</w:t>
      </w:r>
    </w:p>
    <w:p w:rsidR="000E0425" w:rsidRDefault="000E0425" w:rsidP="000E0425">
      <w:pPr>
        <w:pStyle w:val="a3"/>
        <w:shd w:val="clear" w:color="auto" w:fill="FFFFFF"/>
        <w:spacing w:before="0" w:beforeAutospacing="0" w:after="450" w:afterAutospacing="0" w:line="480" w:lineRule="atLeast"/>
        <w:jc w:val="center"/>
        <w:rPr>
          <w:color w:val="242424"/>
        </w:rPr>
      </w:pPr>
      <w:r>
        <w:rPr>
          <w:rStyle w:val="a4"/>
          <w:rFonts w:hint="eastAsia"/>
          <w:color w:val="242424"/>
        </w:rPr>
        <w:t>司法政策类</w:t>
      </w:r>
    </w:p>
    <w:p w:rsidR="000E0425" w:rsidRDefault="000E0425" w:rsidP="000E0425">
      <w:pPr>
        <w:pStyle w:val="a3"/>
        <w:shd w:val="clear" w:color="auto" w:fill="FFFFFF"/>
        <w:spacing w:before="0" w:beforeAutospacing="0" w:after="450" w:afterAutospacing="0" w:line="480" w:lineRule="atLeast"/>
        <w:rPr>
          <w:rFonts w:hint="eastAsia"/>
          <w:color w:val="242424"/>
        </w:rPr>
      </w:pPr>
      <w:r>
        <w:rPr>
          <w:rFonts w:hint="eastAsia"/>
          <w:color w:val="242424"/>
        </w:rPr>
        <w:t>    1. 京津冀协同发展的司法服务与保障问题研究</w:t>
      </w:r>
      <w:r>
        <w:rPr>
          <w:rFonts w:hint="eastAsia"/>
          <w:color w:val="242424"/>
        </w:rPr>
        <w:br/>
        <w:t>    2. 我国海洋维</w:t>
      </w:r>
      <w:proofErr w:type="gramStart"/>
      <w:r>
        <w:rPr>
          <w:rFonts w:hint="eastAsia"/>
          <w:color w:val="242424"/>
        </w:rPr>
        <w:t>权司法</w:t>
      </w:r>
      <w:proofErr w:type="gramEnd"/>
      <w:r>
        <w:rPr>
          <w:rFonts w:hint="eastAsia"/>
          <w:color w:val="242424"/>
        </w:rPr>
        <w:t>对策研究</w:t>
      </w:r>
      <w:r>
        <w:rPr>
          <w:rFonts w:hint="eastAsia"/>
          <w:color w:val="242424"/>
        </w:rPr>
        <w:br/>
        <w:t>    3. 供给</w:t>
      </w:r>
      <w:proofErr w:type="gramStart"/>
      <w:r>
        <w:rPr>
          <w:rFonts w:hint="eastAsia"/>
          <w:color w:val="242424"/>
        </w:rPr>
        <w:t>侧改革</w:t>
      </w:r>
      <w:proofErr w:type="gramEnd"/>
      <w:r>
        <w:rPr>
          <w:rFonts w:hint="eastAsia"/>
          <w:color w:val="242424"/>
        </w:rPr>
        <w:t>背景下相关司法对策研究</w:t>
      </w:r>
      <w:r>
        <w:rPr>
          <w:rFonts w:hint="eastAsia"/>
          <w:color w:val="242424"/>
        </w:rPr>
        <w:br/>
        <w:t>    4. 中国知识产权司法保护战略研究</w:t>
      </w:r>
      <w:r>
        <w:rPr>
          <w:rFonts w:hint="eastAsia"/>
          <w:color w:val="242424"/>
        </w:rPr>
        <w:br/>
        <w:t>    5. 人民法院接受人大监督理论与实践问题研究</w:t>
      </w:r>
    </w:p>
    <w:p w:rsidR="000E0425" w:rsidRDefault="000E0425" w:rsidP="000E0425">
      <w:pPr>
        <w:pStyle w:val="a3"/>
        <w:shd w:val="clear" w:color="auto" w:fill="FFFFFF"/>
        <w:spacing w:before="0" w:beforeAutospacing="0" w:after="450" w:afterAutospacing="0" w:line="480" w:lineRule="atLeast"/>
        <w:jc w:val="center"/>
        <w:rPr>
          <w:rFonts w:hint="eastAsia"/>
          <w:color w:val="242424"/>
        </w:rPr>
      </w:pPr>
      <w:r>
        <w:rPr>
          <w:rStyle w:val="a4"/>
          <w:rFonts w:hint="eastAsia"/>
          <w:color w:val="242424"/>
        </w:rPr>
        <w:t>司法制度类</w:t>
      </w:r>
    </w:p>
    <w:p w:rsidR="000E0425" w:rsidRDefault="000E0425" w:rsidP="000E0425">
      <w:pPr>
        <w:pStyle w:val="a3"/>
        <w:shd w:val="clear" w:color="auto" w:fill="FFFFFF"/>
        <w:spacing w:before="0" w:beforeAutospacing="0" w:after="450" w:afterAutospacing="0" w:line="480" w:lineRule="atLeast"/>
        <w:rPr>
          <w:rFonts w:hint="eastAsia"/>
          <w:color w:val="242424"/>
        </w:rPr>
      </w:pPr>
      <w:r>
        <w:rPr>
          <w:rFonts w:hint="eastAsia"/>
          <w:color w:val="242424"/>
        </w:rPr>
        <w:t>    6. 法院制度的发展轨迹与未来方向——从人民法院近七十年历史的角度分析</w:t>
      </w:r>
      <w:r>
        <w:rPr>
          <w:rFonts w:hint="eastAsia"/>
          <w:color w:val="242424"/>
        </w:rPr>
        <w:br/>
        <w:t>    7. 省级统管改革背景下人民法院的管理体制研究</w:t>
      </w:r>
      <w:r>
        <w:rPr>
          <w:rFonts w:hint="eastAsia"/>
          <w:color w:val="242424"/>
        </w:rPr>
        <w:br/>
        <w:t>    8. 人民法院审判组织运行机制研究</w:t>
      </w:r>
      <w:r>
        <w:rPr>
          <w:rFonts w:hint="eastAsia"/>
          <w:color w:val="242424"/>
        </w:rPr>
        <w:br/>
        <w:t>    9. 法官会议制度与统一法律适用关系研究</w:t>
      </w:r>
      <w:r>
        <w:rPr>
          <w:rFonts w:hint="eastAsia"/>
          <w:color w:val="242424"/>
        </w:rPr>
        <w:br/>
        <w:t>    10. 立案登记制改革背景下诉讼服务中心建设的研究</w:t>
      </w:r>
      <w:r>
        <w:rPr>
          <w:rFonts w:hint="eastAsia"/>
          <w:color w:val="242424"/>
        </w:rPr>
        <w:br/>
        <w:t>    11. 审判权与法院司法行政事务管理权的关系研究</w:t>
      </w:r>
      <w:r>
        <w:rPr>
          <w:rFonts w:hint="eastAsia"/>
          <w:color w:val="242424"/>
        </w:rPr>
        <w:br/>
        <w:t>    12. 完善最高人民法院巡回法庭体制和工作机制研究</w:t>
      </w:r>
      <w:r>
        <w:rPr>
          <w:rFonts w:hint="eastAsia"/>
          <w:color w:val="242424"/>
        </w:rPr>
        <w:br/>
        <w:t>    13. 人民法院内设机构改革研究</w:t>
      </w:r>
      <w:r>
        <w:rPr>
          <w:rFonts w:hint="eastAsia"/>
          <w:color w:val="242424"/>
        </w:rPr>
        <w:br/>
        <w:t>    14. 法官培养机制问题研究</w:t>
      </w:r>
      <w:r>
        <w:rPr>
          <w:rFonts w:hint="eastAsia"/>
          <w:color w:val="242424"/>
        </w:rPr>
        <w:br/>
        <w:t>    15. 法官惩戒委员会与法院纪检监察制度的衔接研究</w:t>
      </w:r>
      <w:r>
        <w:rPr>
          <w:rFonts w:hint="eastAsia"/>
          <w:color w:val="242424"/>
        </w:rPr>
        <w:br/>
        <w:t>    16. 建设智慧型法院问题研究</w:t>
      </w:r>
    </w:p>
    <w:p w:rsidR="000E0425" w:rsidRDefault="000E0425" w:rsidP="000E0425">
      <w:pPr>
        <w:pStyle w:val="a3"/>
        <w:shd w:val="clear" w:color="auto" w:fill="FFFFFF"/>
        <w:spacing w:before="0" w:beforeAutospacing="0" w:after="450" w:afterAutospacing="0" w:line="480" w:lineRule="atLeast"/>
        <w:jc w:val="center"/>
        <w:rPr>
          <w:rFonts w:hint="eastAsia"/>
          <w:color w:val="242424"/>
        </w:rPr>
      </w:pPr>
      <w:r>
        <w:rPr>
          <w:rStyle w:val="a4"/>
          <w:rFonts w:hint="eastAsia"/>
          <w:color w:val="242424"/>
        </w:rPr>
        <w:t>司法实务类</w:t>
      </w:r>
    </w:p>
    <w:p w:rsidR="000E0425" w:rsidRDefault="000E0425" w:rsidP="000E0425">
      <w:pPr>
        <w:pStyle w:val="a3"/>
        <w:shd w:val="clear" w:color="auto" w:fill="FFFFFF"/>
        <w:spacing w:before="0" w:beforeAutospacing="0" w:after="450" w:afterAutospacing="0" w:line="480" w:lineRule="atLeast"/>
        <w:rPr>
          <w:rFonts w:hint="eastAsia"/>
          <w:color w:val="242424"/>
        </w:rPr>
      </w:pPr>
      <w:r>
        <w:rPr>
          <w:rFonts w:hint="eastAsia"/>
          <w:color w:val="242424"/>
        </w:rPr>
        <w:t xml:space="preserve">    17. </w:t>
      </w:r>
      <w:proofErr w:type="gramStart"/>
      <w:r>
        <w:rPr>
          <w:rFonts w:hint="eastAsia"/>
          <w:color w:val="242424"/>
        </w:rPr>
        <w:t>诉调对接</w:t>
      </w:r>
      <w:proofErr w:type="gramEnd"/>
      <w:r>
        <w:rPr>
          <w:rFonts w:hint="eastAsia"/>
          <w:color w:val="242424"/>
        </w:rPr>
        <w:t>问题研究</w:t>
      </w:r>
      <w:r>
        <w:rPr>
          <w:rFonts w:hint="eastAsia"/>
          <w:color w:val="242424"/>
        </w:rPr>
        <w:br/>
        <w:t>    18. 跨行政区划法院案件管辖制度研究</w:t>
      </w:r>
      <w:r>
        <w:rPr>
          <w:rFonts w:hint="eastAsia"/>
          <w:color w:val="242424"/>
        </w:rPr>
        <w:br/>
        <w:t>    19. 滥用诉权问题的规制研究</w:t>
      </w:r>
      <w:r>
        <w:rPr>
          <w:rFonts w:hint="eastAsia"/>
          <w:color w:val="242424"/>
        </w:rPr>
        <w:br/>
      </w:r>
      <w:r>
        <w:rPr>
          <w:rFonts w:hint="eastAsia"/>
          <w:color w:val="242424"/>
        </w:rPr>
        <w:lastRenderedPageBreak/>
        <w:t>    20. 刑事庭审实质化问题研究</w:t>
      </w:r>
      <w:r>
        <w:rPr>
          <w:rFonts w:hint="eastAsia"/>
          <w:color w:val="242424"/>
        </w:rPr>
        <w:br/>
        <w:t>    21. 刑事申诉案件诉讼化改造问题研究</w:t>
      </w:r>
      <w:r>
        <w:rPr>
          <w:rFonts w:hint="eastAsia"/>
          <w:color w:val="242424"/>
        </w:rPr>
        <w:br/>
        <w:t>    22. 司法解释和案例指导理论与实务问题研究</w:t>
      </w:r>
      <w:r>
        <w:rPr>
          <w:rFonts w:hint="eastAsia"/>
          <w:color w:val="242424"/>
        </w:rPr>
        <w:br/>
        <w:t>    23. 网络信息保护与网络犯罪问题研究</w:t>
      </w:r>
      <w:r>
        <w:rPr>
          <w:rFonts w:hint="eastAsia"/>
          <w:color w:val="242424"/>
        </w:rPr>
        <w:br/>
        <w:t>    24. 行政协议案件审理中的疑难问题研究</w:t>
      </w:r>
      <w:r>
        <w:rPr>
          <w:rFonts w:hint="eastAsia"/>
          <w:color w:val="242424"/>
        </w:rPr>
        <w:br/>
        <w:t>    25. “僵尸企业”破产法律问题研究</w:t>
      </w:r>
      <w:r>
        <w:rPr>
          <w:rFonts w:hint="eastAsia"/>
          <w:color w:val="242424"/>
        </w:rPr>
        <w:br/>
        <w:t>    26. 金融创新审判实务问题研究</w:t>
      </w:r>
      <w:r>
        <w:rPr>
          <w:rFonts w:hint="eastAsia"/>
          <w:color w:val="242424"/>
        </w:rPr>
        <w:br/>
        <w:t>    27. 电子商务信用体系构建的司法问题研究</w:t>
      </w:r>
    </w:p>
    <w:p w:rsidR="000E0425" w:rsidRPr="000E0425" w:rsidRDefault="000E0425" w:rsidP="000E042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</w:p>
    <w:sectPr w:rsidR="000E0425" w:rsidRPr="000E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25"/>
    <w:rsid w:val="000E0425"/>
    <w:rsid w:val="00C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韩冰</cp:lastModifiedBy>
  <cp:revision>1</cp:revision>
  <dcterms:created xsi:type="dcterms:W3CDTF">2016-07-15T06:41:00Z</dcterms:created>
  <dcterms:modified xsi:type="dcterms:W3CDTF">2016-07-15T06:41:00Z</dcterms:modified>
</cp:coreProperties>
</file>